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F7" w:rsidRDefault="007307ED" w:rsidP="00E957F7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Reliance </w:t>
      </w:r>
      <w:r w:rsidR="008E7217">
        <w:rPr>
          <w:rFonts w:ascii="Arial Narrow" w:hAnsi="Arial Narrow"/>
          <w:b/>
          <w:sz w:val="24"/>
          <w:szCs w:val="24"/>
        </w:rPr>
        <w:t xml:space="preserve">Agreement </w:t>
      </w:r>
      <w:r>
        <w:rPr>
          <w:rFonts w:ascii="Arial Narrow" w:hAnsi="Arial Narrow"/>
          <w:b/>
          <w:sz w:val="24"/>
          <w:szCs w:val="24"/>
        </w:rPr>
        <w:t>Determination</w:t>
      </w:r>
      <w:r w:rsidR="00375713" w:rsidRPr="00FB6602">
        <w:rPr>
          <w:rFonts w:ascii="Arial Narrow" w:hAnsi="Arial Narrow"/>
          <w:b/>
          <w:sz w:val="24"/>
          <w:szCs w:val="24"/>
        </w:rPr>
        <w:t xml:space="preserve"> </w:t>
      </w:r>
    </w:p>
    <w:p w:rsidR="005616AA" w:rsidRPr="005616AA" w:rsidRDefault="004950F4" w:rsidP="005616AA">
      <w:pPr>
        <w:pStyle w:val="ChecklistBasis"/>
        <w:spacing w:after="60"/>
        <w:rPr>
          <w:i/>
          <w:color w:val="0070C0"/>
          <w:sz w:val="22"/>
          <w:szCs w:val="22"/>
        </w:rPr>
      </w:pPr>
      <w:r w:rsidRPr="005616AA">
        <w:rPr>
          <w:i/>
          <w:color w:val="0070C0"/>
          <w:sz w:val="22"/>
          <w:szCs w:val="22"/>
        </w:rPr>
        <w:t xml:space="preserve">A Reliance agreement </w:t>
      </w:r>
      <w:r w:rsidR="004D5A64">
        <w:rPr>
          <w:i/>
          <w:color w:val="0070C0"/>
          <w:sz w:val="22"/>
          <w:szCs w:val="22"/>
        </w:rPr>
        <w:t>may be used</w:t>
      </w:r>
      <w:r w:rsidRPr="005616AA">
        <w:rPr>
          <w:i/>
          <w:color w:val="0070C0"/>
          <w:sz w:val="22"/>
          <w:szCs w:val="22"/>
        </w:rPr>
        <w:t xml:space="preserve"> if a study is conducted at multiple sites</w:t>
      </w:r>
      <w:r w:rsidR="004D5A64">
        <w:rPr>
          <w:i/>
          <w:color w:val="0070C0"/>
          <w:sz w:val="22"/>
          <w:szCs w:val="22"/>
        </w:rPr>
        <w:t xml:space="preserve"> or</w:t>
      </w:r>
      <w:r w:rsidRPr="005616AA">
        <w:rPr>
          <w:i/>
          <w:color w:val="0070C0"/>
          <w:sz w:val="22"/>
          <w:szCs w:val="22"/>
        </w:rPr>
        <w:t xml:space="preserve"> the participating institution does not have </w:t>
      </w:r>
      <w:r w:rsidR="008976D8">
        <w:rPr>
          <w:i/>
          <w:color w:val="0070C0"/>
          <w:sz w:val="22"/>
          <w:szCs w:val="22"/>
        </w:rPr>
        <w:t xml:space="preserve">its </w:t>
      </w:r>
      <w:r w:rsidRPr="005616AA">
        <w:rPr>
          <w:i/>
          <w:color w:val="0070C0"/>
          <w:sz w:val="22"/>
          <w:szCs w:val="22"/>
        </w:rPr>
        <w:t xml:space="preserve">own IRB or prisoner rep </w:t>
      </w:r>
      <w:r w:rsidR="004D5A64">
        <w:rPr>
          <w:i/>
          <w:color w:val="0070C0"/>
          <w:sz w:val="22"/>
          <w:szCs w:val="22"/>
        </w:rPr>
        <w:t>composition.</w:t>
      </w:r>
    </w:p>
    <w:p w:rsidR="004D5A64" w:rsidRPr="005616AA" w:rsidRDefault="004950F4" w:rsidP="004A72A1">
      <w:pPr>
        <w:pStyle w:val="ChecklistBasis"/>
        <w:spacing w:after="240"/>
        <w:rPr>
          <w:b/>
          <w:i/>
          <w:color w:val="0070C0"/>
          <w:sz w:val="22"/>
          <w:szCs w:val="22"/>
        </w:rPr>
      </w:pPr>
      <w:r w:rsidRPr="005616AA">
        <w:rPr>
          <w:b/>
          <w:i/>
          <w:color w:val="0070C0"/>
          <w:sz w:val="22"/>
          <w:szCs w:val="22"/>
        </w:rPr>
        <w:t xml:space="preserve">Note: Reliance agreements apply only to </w:t>
      </w:r>
      <w:r w:rsidR="005616AA">
        <w:rPr>
          <w:b/>
          <w:i/>
          <w:color w:val="0070C0"/>
          <w:sz w:val="22"/>
          <w:szCs w:val="22"/>
        </w:rPr>
        <w:t>E</w:t>
      </w:r>
      <w:r w:rsidRPr="005616AA">
        <w:rPr>
          <w:b/>
          <w:i/>
          <w:color w:val="0070C0"/>
          <w:sz w:val="22"/>
          <w:szCs w:val="22"/>
        </w:rPr>
        <w:t xml:space="preserve">xpedited and </w:t>
      </w:r>
      <w:r w:rsidR="005616AA">
        <w:rPr>
          <w:b/>
          <w:i/>
          <w:color w:val="0070C0"/>
          <w:sz w:val="22"/>
          <w:szCs w:val="22"/>
        </w:rPr>
        <w:t>F</w:t>
      </w:r>
      <w:r w:rsidRPr="005616AA">
        <w:rPr>
          <w:b/>
          <w:i/>
          <w:color w:val="0070C0"/>
          <w:sz w:val="22"/>
          <w:szCs w:val="22"/>
        </w:rPr>
        <w:t>ull</w:t>
      </w:r>
      <w:r w:rsidR="005616AA">
        <w:rPr>
          <w:b/>
          <w:i/>
          <w:color w:val="0070C0"/>
          <w:sz w:val="22"/>
          <w:szCs w:val="22"/>
        </w:rPr>
        <w:t xml:space="preserve"> B</w:t>
      </w:r>
      <w:r w:rsidRPr="005616AA">
        <w:rPr>
          <w:b/>
          <w:i/>
          <w:color w:val="0070C0"/>
          <w:sz w:val="22"/>
          <w:szCs w:val="22"/>
        </w:rPr>
        <w:t>oard studies</w:t>
      </w:r>
      <w:r w:rsidR="004A72A1">
        <w:rPr>
          <w:b/>
          <w:i/>
          <w:color w:val="0070C0"/>
          <w:sz w:val="22"/>
          <w:szCs w:val="22"/>
        </w:rPr>
        <w:t xml:space="preserve"> and are made at the discretion of both the relying and reviewing IRBs.</w:t>
      </w: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5616AA" w:rsidRPr="00E957F7" w:rsidTr="003B22AA">
        <w:trPr>
          <w:trHeight w:hRule="exact" w:val="922"/>
        </w:trPr>
        <w:tc>
          <w:tcPr>
            <w:tcW w:w="9576" w:type="dxa"/>
            <w:gridSpan w:val="2"/>
            <w:vAlign w:val="center"/>
          </w:tcPr>
          <w:p w:rsidR="004D5A64" w:rsidRPr="003B22AA" w:rsidRDefault="00F41E4C" w:rsidP="004D5A64">
            <w:pPr>
              <w:pStyle w:val="ChecklistBasi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OHRA policy, a</w:t>
            </w:r>
            <w:r w:rsidR="004A72A1" w:rsidRPr="003B22AA">
              <w:rPr>
                <w:b/>
                <w:sz w:val="22"/>
                <w:szCs w:val="22"/>
              </w:rPr>
              <w:t xml:space="preserve"> Reliance Agreement may be appropriate </w:t>
            </w:r>
            <w:r w:rsidR="004D5A64" w:rsidRPr="003B22AA">
              <w:rPr>
                <w:b/>
                <w:sz w:val="22"/>
                <w:szCs w:val="22"/>
              </w:rPr>
              <w:t xml:space="preserve">if </w:t>
            </w:r>
            <w:r w:rsidR="003B22AA" w:rsidRPr="003B22AA">
              <w:rPr>
                <w:b/>
                <w:sz w:val="22"/>
                <w:szCs w:val="22"/>
              </w:rPr>
              <w:t xml:space="preserve">: </w:t>
            </w:r>
          </w:p>
          <w:p w:rsidR="004D5A64" w:rsidRPr="003B22AA" w:rsidRDefault="004D5A64" w:rsidP="003B22AA">
            <w:pPr>
              <w:pStyle w:val="ChecklistBasis"/>
              <w:numPr>
                <w:ilvl w:val="0"/>
                <w:numId w:val="2"/>
              </w:numPr>
              <w:ind w:left="720"/>
              <w:rPr>
                <w:b/>
                <w:sz w:val="22"/>
                <w:szCs w:val="22"/>
              </w:rPr>
            </w:pPr>
            <w:r w:rsidRPr="003B22AA">
              <w:rPr>
                <w:b/>
                <w:sz w:val="22"/>
                <w:szCs w:val="22"/>
              </w:rPr>
              <w:t xml:space="preserve">the Reviewing Institution has a current </w:t>
            </w:r>
            <w:hyperlink r:id="rId8" w:history="1">
              <w:r w:rsidRPr="003B22AA">
                <w:rPr>
                  <w:rStyle w:val="Hyperlink"/>
                  <w:b/>
                  <w:sz w:val="22"/>
                  <w:szCs w:val="22"/>
                </w:rPr>
                <w:t>FWA</w:t>
              </w:r>
            </w:hyperlink>
            <w:r w:rsidRPr="003B22AA">
              <w:rPr>
                <w:b/>
                <w:sz w:val="22"/>
                <w:szCs w:val="22"/>
              </w:rPr>
              <w:t xml:space="preserve"> </w:t>
            </w:r>
            <w:r w:rsidRPr="003B22AA">
              <w:rPr>
                <w:i/>
                <w:color w:val="0070C0"/>
                <w:szCs w:val="20"/>
              </w:rPr>
              <w:t>(http://ohrp.cit.nih.gov/search/fwasearch.aspx?styp=bsc)</w:t>
            </w:r>
            <w:r w:rsidRPr="003B22AA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5616AA" w:rsidRPr="004D5A64" w:rsidRDefault="004D5A64" w:rsidP="003B22AA">
            <w:pPr>
              <w:pStyle w:val="ChecklistBasis"/>
              <w:numPr>
                <w:ilvl w:val="0"/>
                <w:numId w:val="2"/>
              </w:numPr>
              <w:ind w:left="720"/>
              <w:rPr>
                <w:sz w:val="22"/>
                <w:szCs w:val="22"/>
                <w:u w:val="single"/>
              </w:rPr>
            </w:pPr>
            <w:r w:rsidRPr="003B22AA">
              <w:rPr>
                <w:b/>
                <w:sz w:val="22"/>
                <w:szCs w:val="22"/>
                <w:u w:val="single"/>
              </w:rPr>
              <w:t xml:space="preserve">AND </w:t>
            </w:r>
            <w:r w:rsidRPr="003B22AA">
              <w:rPr>
                <w:b/>
                <w:sz w:val="22"/>
                <w:szCs w:val="22"/>
              </w:rPr>
              <w:t xml:space="preserve">at least one </w:t>
            </w:r>
            <w:r w:rsidR="00F41E4C">
              <w:rPr>
                <w:b/>
                <w:sz w:val="22"/>
                <w:szCs w:val="22"/>
              </w:rPr>
              <w:t xml:space="preserve">(1) </w:t>
            </w:r>
            <w:r w:rsidRPr="003B22AA">
              <w:rPr>
                <w:b/>
                <w:sz w:val="22"/>
                <w:szCs w:val="22"/>
              </w:rPr>
              <w:t>of the following is true:</w:t>
            </w:r>
            <w:r w:rsidRPr="004D5A64">
              <w:rPr>
                <w:sz w:val="22"/>
                <w:szCs w:val="22"/>
              </w:rPr>
              <w:t xml:space="preserve"> </w:t>
            </w:r>
          </w:p>
        </w:tc>
      </w:tr>
      <w:tr w:rsidR="007307ED" w:rsidRPr="00E957F7" w:rsidTr="004A72A1">
        <w:trPr>
          <w:trHeight w:hRule="exact" w:val="518"/>
        </w:trPr>
        <w:tc>
          <w:tcPr>
            <w:tcW w:w="1548" w:type="dxa"/>
            <w:vAlign w:val="center"/>
          </w:tcPr>
          <w:p w:rsidR="007307ED" w:rsidRPr="00F302E3" w:rsidRDefault="007307ED" w:rsidP="004A72A1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</w:p>
        </w:tc>
        <w:tc>
          <w:tcPr>
            <w:tcW w:w="8028" w:type="dxa"/>
            <w:vAlign w:val="center"/>
          </w:tcPr>
          <w:p w:rsidR="004A72A1" w:rsidRDefault="005616AA" w:rsidP="004A72A1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 xml:space="preserve">The reviewing institution is a participating member of </w:t>
            </w:r>
            <w:hyperlink r:id="rId9" w:history="1">
              <w:r w:rsidRPr="00F41E4C">
                <w:rPr>
                  <w:rStyle w:val="Hyperlink"/>
                  <w:szCs w:val="20"/>
                </w:rPr>
                <w:t>Harvard Catalyst</w:t>
              </w:r>
            </w:hyperlink>
            <w:r>
              <w:rPr>
                <w:szCs w:val="20"/>
              </w:rPr>
              <w:t xml:space="preserve"> </w:t>
            </w:r>
          </w:p>
          <w:p w:rsidR="007307ED" w:rsidRPr="00F302E3" w:rsidRDefault="004A72A1" w:rsidP="004A72A1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F41E4C" w:rsidRPr="00F41E4C">
              <w:rPr>
                <w:szCs w:val="20"/>
              </w:rPr>
              <w:t>http://catalyst.harvard.edu/services/irbcede/</w:t>
            </w:r>
            <w:r>
              <w:rPr>
                <w:szCs w:val="20"/>
              </w:rPr>
              <w:t>)</w:t>
            </w:r>
          </w:p>
        </w:tc>
      </w:tr>
      <w:tr w:rsidR="007307ED" w:rsidRPr="00E957F7" w:rsidTr="004A72A1">
        <w:trPr>
          <w:trHeight w:hRule="exact" w:val="518"/>
        </w:trPr>
        <w:tc>
          <w:tcPr>
            <w:tcW w:w="1548" w:type="dxa"/>
            <w:vAlign w:val="center"/>
          </w:tcPr>
          <w:p w:rsidR="007307ED" w:rsidRPr="00F302E3" w:rsidRDefault="007307ED" w:rsidP="004A72A1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</w:p>
        </w:tc>
        <w:tc>
          <w:tcPr>
            <w:tcW w:w="8028" w:type="dxa"/>
            <w:vAlign w:val="center"/>
          </w:tcPr>
          <w:p w:rsidR="004A72A1" w:rsidRDefault="005616AA" w:rsidP="004A72A1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 xml:space="preserve">The Reviewing Institution is an </w:t>
            </w:r>
            <w:hyperlink r:id="rId10" w:history="1">
              <w:r w:rsidRPr="00F41E4C">
                <w:rPr>
                  <w:rStyle w:val="Hyperlink"/>
                  <w:szCs w:val="20"/>
                </w:rPr>
                <w:t>AAHRPP</w:t>
              </w:r>
            </w:hyperlink>
            <w:r>
              <w:rPr>
                <w:szCs w:val="20"/>
              </w:rPr>
              <w:t xml:space="preserve"> accredited organization</w:t>
            </w:r>
          </w:p>
          <w:p w:rsidR="007307ED" w:rsidRPr="00F302E3" w:rsidRDefault="004A72A1" w:rsidP="004A72A1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5616AA" w:rsidRPr="005616AA">
              <w:rPr>
                <w:szCs w:val="20"/>
              </w:rPr>
              <w:t>http://www.aahrpp.org/learn/find-an-accredited-organization</w:t>
            </w:r>
            <w:r>
              <w:rPr>
                <w:szCs w:val="20"/>
              </w:rPr>
              <w:t>)</w:t>
            </w:r>
          </w:p>
        </w:tc>
      </w:tr>
      <w:tr w:rsidR="007307ED" w:rsidRPr="00E957F7" w:rsidTr="00F41E4C">
        <w:trPr>
          <w:trHeight w:hRule="exact" w:val="518"/>
        </w:trPr>
        <w:tc>
          <w:tcPr>
            <w:tcW w:w="1548" w:type="dxa"/>
            <w:vAlign w:val="center"/>
          </w:tcPr>
          <w:p w:rsidR="007307ED" w:rsidRPr="00F302E3" w:rsidRDefault="007307ED" w:rsidP="004A72A1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</w:p>
        </w:tc>
        <w:tc>
          <w:tcPr>
            <w:tcW w:w="8028" w:type="dxa"/>
            <w:vAlign w:val="center"/>
          </w:tcPr>
          <w:p w:rsidR="007307ED" w:rsidRPr="00F302E3" w:rsidRDefault="00F41E4C" w:rsidP="00416AD2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>HLMA</w:t>
            </w:r>
            <w:r w:rsidR="005616AA">
              <w:rPr>
                <w:szCs w:val="20"/>
              </w:rPr>
              <w:t xml:space="preserve">’s investigator is a collaborator on Human </w:t>
            </w:r>
            <w:r w:rsidR="004A72A1">
              <w:rPr>
                <w:szCs w:val="20"/>
              </w:rPr>
              <w:t>Research</w:t>
            </w:r>
            <w:r w:rsidR="005616AA">
              <w:rPr>
                <w:szCs w:val="20"/>
              </w:rPr>
              <w:t xml:space="preserve"> primarily conducted at another organization and the investigator’s role does not include interaction or intervention with participants </w:t>
            </w:r>
          </w:p>
        </w:tc>
      </w:tr>
      <w:tr w:rsidR="007307ED" w:rsidRPr="00E957F7" w:rsidTr="004A72A1">
        <w:trPr>
          <w:trHeight w:hRule="exact" w:val="720"/>
        </w:trPr>
        <w:tc>
          <w:tcPr>
            <w:tcW w:w="1548" w:type="dxa"/>
            <w:vAlign w:val="center"/>
          </w:tcPr>
          <w:p w:rsidR="007307ED" w:rsidRPr="00F302E3" w:rsidRDefault="007307ED" w:rsidP="004A72A1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5F5278">
              <w:rPr>
                <w:szCs w:val="20"/>
              </w:rPr>
            </w:r>
            <w:r w:rsidR="005F5278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</w:p>
        </w:tc>
        <w:tc>
          <w:tcPr>
            <w:tcW w:w="8028" w:type="dxa"/>
            <w:vAlign w:val="center"/>
          </w:tcPr>
          <w:p w:rsidR="007307ED" w:rsidRPr="00F302E3" w:rsidRDefault="00F41E4C" w:rsidP="00F41E4C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 xml:space="preserve">Harvard </w:t>
            </w:r>
            <w:r w:rsidR="005616AA">
              <w:rPr>
                <w:szCs w:val="20"/>
              </w:rPr>
              <w:t>is engaged in the Human Research solely because it is receiving federal funds</w:t>
            </w:r>
            <w:r>
              <w:rPr>
                <w:szCs w:val="20"/>
              </w:rPr>
              <w:t xml:space="preserve">. </w:t>
            </w:r>
            <w:r w:rsidR="005616AA">
              <w:rPr>
                <w:szCs w:val="20"/>
              </w:rPr>
              <w:t xml:space="preserve"> (The </w:t>
            </w:r>
            <w:r>
              <w:rPr>
                <w:szCs w:val="20"/>
              </w:rPr>
              <w:t>HLMA</w:t>
            </w:r>
            <w:r w:rsidR="005616AA">
              <w:rPr>
                <w:szCs w:val="20"/>
              </w:rPr>
              <w:t xml:space="preserve"> investigator does not interact or intervene with participants, gather or possess identifiable information about participants, nor obtain the consent of participants)</w:t>
            </w:r>
            <w:r>
              <w:rPr>
                <w:szCs w:val="20"/>
              </w:rPr>
              <w:t>.</w:t>
            </w:r>
            <w:r w:rsidR="005616AA">
              <w:rPr>
                <w:szCs w:val="20"/>
              </w:rPr>
              <w:t xml:space="preserve"> </w:t>
            </w:r>
          </w:p>
        </w:tc>
      </w:tr>
      <w:tr w:rsidR="004950F4" w:rsidRPr="00E957F7" w:rsidTr="004A72A1">
        <w:trPr>
          <w:trHeight w:hRule="exact" w:val="72"/>
        </w:trPr>
        <w:tc>
          <w:tcPr>
            <w:tcW w:w="9576" w:type="dxa"/>
            <w:gridSpan w:val="2"/>
            <w:shd w:val="pct10" w:color="auto" w:fill="auto"/>
            <w:vAlign w:val="center"/>
          </w:tcPr>
          <w:p w:rsidR="004950F4" w:rsidRPr="004950F4" w:rsidRDefault="004950F4" w:rsidP="004950F4">
            <w:pPr>
              <w:pStyle w:val="ChecklistBasis"/>
              <w:rPr>
                <w:b/>
                <w:sz w:val="22"/>
                <w:szCs w:val="22"/>
              </w:rPr>
            </w:pPr>
          </w:p>
        </w:tc>
      </w:tr>
      <w:tr w:rsidR="004A72A1" w:rsidRPr="00E957F7" w:rsidTr="009944A2">
        <w:trPr>
          <w:trHeight w:hRule="exact" w:val="865"/>
        </w:trPr>
        <w:tc>
          <w:tcPr>
            <w:tcW w:w="9576" w:type="dxa"/>
            <w:gridSpan w:val="2"/>
            <w:vAlign w:val="center"/>
          </w:tcPr>
          <w:p w:rsidR="004A72A1" w:rsidRDefault="004A72A1" w:rsidP="004A72A1">
            <w:pPr>
              <w:pStyle w:val="ChecklistBasis"/>
              <w:rPr>
                <w:b/>
                <w:sz w:val="22"/>
                <w:szCs w:val="22"/>
              </w:rPr>
            </w:pPr>
            <w:r w:rsidRPr="004950F4">
              <w:rPr>
                <w:b/>
                <w:sz w:val="22"/>
                <w:szCs w:val="22"/>
              </w:rPr>
              <w:t>International Studies</w:t>
            </w:r>
          </w:p>
          <w:p w:rsidR="00416AD2" w:rsidRPr="004950F4" w:rsidRDefault="00416AD2" w:rsidP="00416AD2">
            <w:pPr>
              <w:pStyle w:val="ChecklistBasis"/>
              <w:ind w:left="360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Per OHRA policy, HLMA IRBs do not rely on, or review for international sites.  C</w:t>
            </w:r>
            <w:r w:rsidRPr="004950F4">
              <w:rPr>
                <w:rFonts w:eastAsiaTheme="minorHAnsi" w:cstheme="minorBidi"/>
                <w:szCs w:val="20"/>
              </w:rPr>
              <w:t xml:space="preserve">oncurrent review </w:t>
            </w:r>
            <w:r>
              <w:rPr>
                <w:szCs w:val="20"/>
              </w:rPr>
              <w:t xml:space="preserve">by a local IRB/EC is required.  An Individual Investigator Agreements (IIA) May be </w:t>
            </w:r>
            <w:r w:rsidRPr="004950F4">
              <w:rPr>
                <w:rFonts w:eastAsiaTheme="minorHAnsi" w:cstheme="minorBidi"/>
                <w:szCs w:val="20"/>
              </w:rPr>
              <w:t xml:space="preserve">appropriate to cover </w:t>
            </w:r>
            <w:r>
              <w:rPr>
                <w:szCs w:val="20"/>
              </w:rPr>
              <w:t xml:space="preserve">the activities of </w:t>
            </w:r>
            <w:r w:rsidRPr="004950F4">
              <w:rPr>
                <w:rFonts w:eastAsiaTheme="minorHAnsi" w:cstheme="minorBidi"/>
                <w:szCs w:val="20"/>
              </w:rPr>
              <w:t>individual investigators</w:t>
            </w:r>
            <w:r>
              <w:rPr>
                <w:szCs w:val="20"/>
              </w:rPr>
              <w:t>.</w:t>
            </w:r>
          </w:p>
        </w:tc>
      </w:tr>
      <w:tr w:rsidR="004A72A1" w:rsidRPr="00E957F7" w:rsidTr="004A72A1">
        <w:trPr>
          <w:trHeight w:hRule="exact" w:val="72"/>
        </w:trPr>
        <w:tc>
          <w:tcPr>
            <w:tcW w:w="9576" w:type="dxa"/>
            <w:gridSpan w:val="2"/>
            <w:shd w:val="pct10" w:color="auto" w:fill="auto"/>
            <w:vAlign w:val="center"/>
          </w:tcPr>
          <w:p w:rsidR="004A72A1" w:rsidRPr="00F302E3" w:rsidRDefault="004A72A1" w:rsidP="004A72A1">
            <w:pPr>
              <w:pStyle w:val="ChecklistBasis"/>
              <w:ind w:left="252"/>
              <w:rPr>
                <w:szCs w:val="20"/>
              </w:rPr>
            </w:pPr>
          </w:p>
        </w:tc>
      </w:tr>
      <w:tr w:rsidR="004950F4" w:rsidRPr="00E957F7" w:rsidTr="004D5A64">
        <w:trPr>
          <w:trHeight w:hRule="exact" w:val="720"/>
        </w:trPr>
        <w:tc>
          <w:tcPr>
            <w:tcW w:w="9576" w:type="dxa"/>
            <w:gridSpan w:val="2"/>
            <w:vAlign w:val="center"/>
          </w:tcPr>
          <w:p w:rsidR="004950F4" w:rsidRDefault="004950F4" w:rsidP="004D5A64">
            <w:pPr>
              <w:pStyle w:val="ChecklistBasis"/>
              <w:rPr>
                <w:b/>
                <w:sz w:val="22"/>
                <w:szCs w:val="22"/>
              </w:rPr>
            </w:pPr>
            <w:r w:rsidRPr="004950F4">
              <w:rPr>
                <w:b/>
                <w:sz w:val="22"/>
                <w:szCs w:val="22"/>
              </w:rPr>
              <w:t>VA Studies</w:t>
            </w:r>
          </w:p>
          <w:p w:rsidR="004D5A64" w:rsidRPr="004950F4" w:rsidRDefault="004D5A64" w:rsidP="004D5A64">
            <w:pPr>
              <w:pStyle w:val="ChecklistBasis"/>
              <w:ind w:left="360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Per VA policy, there is no option for a reliance agreement with any VA IRB.</w:t>
            </w:r>
          </w:p>
        </w:tc>
      </w:tr>
    </w:tbl>
    <w:p w:rsidR="00432C3C" w:rsidRDefault="00432C3C" w:rsidP="00FB6602">
      <w:pPr>
        <w:spacing w:after="0" w:line="240" w:lineRule="auto"/>
      </w:pPr>
    </w:p>
    <w:p w:rsidR="00432C3C" w:rsidRDefault="00432C3C" w:rsidP="00432C3C">
      <w:pPr>
        <w:spacing w:after="0" w:line="240" w:lineRule="auto"/>
      </w:pPr>
    </w:p>
    <w:p w:rsidR="00432C3C" w:rsidRDefault="00432C3C" w:rsidP="00432C3C">
      <w:pPr>
        <w:spacing w:after="0" w:line="240" w:lineRule="auto"/>
      </w:pPr>
    </w:p>
    <w:p w:rsidR="00422AB9" w:rsidRDefault="00422AB9" w:rsidP="00432C3C">
      <w:pPr>
        <w:spacing w:after="0" w:line="240" w:lineRule="auto"/>
      </w:pPr>
    </w:p>
    <w:sectPr w:rsidR="00422AB9" w:rsidSect="000D37E8">
      <w:headerReference w:type="default" r:id="rId11"/>
      <w:footerReference w:type="default" r:id="rId12"/>
      <w:headerReference w:type="first" r:id="rId13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78" w:rsidRDefault="005F5278" w:rsidP="00E64060">
      <w:pPr>
        <w:spacing w:after="0" w:line="240" w:lineRule="auto"/>
      </w:pPr>
      <w:r>
        <w:separator/>
      </w:r>
    </w:p>
  </w:endnote>
  <w:endnote w:type="continuationSeparator" w:id="0">
    <w:p w:rsidR="005F5278" w:rsidRDefault="005F5278" w:rsidP="00E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13" w:rsidRDefault="00764D18" w:rsidP="00375713">
    <w:pPr>
      <w:pStyle w:val="Header"/>
      <w:rPr>
        <w:sz w:val="18"/>
        <w:szCs w:val="18"/>
      </w:rPr>
    </w:pPr>
    <w:r w:rsidRPr="00E957F7">
      <w:rPr>
        <w:sz w:val="18"/>
        <w:szCs w:val="18"/>
      </w:rPr>
      <w:t xml:space="preserve">Informed Consent </w:t>
    </w:r>
    <w:r w:rsidR="00E957F7" w:rsidRPr="00E957F7">
      <w:rPr>
        <w:sz w:val="18"/>
        <w:szCs w:val="18"/>
      </w:rPr>
      <w:t>C</w:t>
    </w:r>
    <w:r w:rsidR="00E64060" w:rsidRPr="00E957F7">
      <w:rPr>
        <w:sz w:val="18"/>
        <w:szCs w:val="18"/>
      </w:rPr>
      <w:t>hecklist</w:t>
    </w:r>
    <w:r w:rsidR="00E957F7" w:rsidRPr="00E957F7">
      <w:rPr>
        <w:sz w:val="18"/>
        <w:szCs w:val="18"/>
      </w:rPr>
      <w:t xml:space="preserve"> and </w:t>
    </w:r>
    <w:r w:rsidR="00375713">
      <w:rPr>
        <w:sz w:val="18"/>
        <w:szCs w:val="18"/>
      </w:rPr>
      <w:t xml:space="preserve">Consent </w:t>
    </w:r>
    <w:r w:rsidR="00E957F7" w:rsidRPr="00E957F7">
      <w:rPr>
        <w:sz w:val="18"/>
        <w:szCs w:val="18"/>
      </w:rPr>
      <w:t xml:space="preserve">Observation </w:t>
    </w:r>
    <w:r w:rsidR="00375713">
      <w:rPr>
        <w:sz w:val="18"/>
        <w:szCs w:val="18"/>
      </w:rPr>
      <w:t xml:space="preserve">Assessment </w:t>
    </w:r>
    <w:r w:rsidR="00E957F7" w:rsidRPr="00E957F7">
      <w:rPr>
        <w:sz w:val="18"/>
        <w:szCs w:val="18"/>
      </w:rPr>
      <w:t>Tool</w:t>
    </w:r>
  </w:p>
  <w:p w:rsidR="00E64060" w:rsidRPr="00E957F7" w:rsidRDefault="00375713" w:rsidP="00E64060">
    <w:pPr>
      <w:pStyle w:val="Header"/>
      <w:rPr>
        <w:sz w:val="18"/>
        <w:szCs w:val="18"/>
      </w:rPr>
    </w:pPr>
    <w:r>
      <w:rPr>
        <w:sz w:val="18"/>
        <w:szCs w:val="18"/>
      </w:rPr>
      <w:t>V</w:t>
    </w:r>
    <w:r w:rsidR="00764D18" w:rsidRPr="00E957F7">
      <w:rPr>
        <w:sz w:val="18"/>
        <w:szCs w:val="18"/>
      </w:rPr>
      <w:t xml:space="preserve">ersion: July </w:t>
    </w:r>
    <w:r w:rsidR="00E957F7" w:rsidRPr="00E957F7">
      <w:rPr>
        <w:sz w:val="18"/>
        <w:szCs w:val="18"/>
      </w:rPr>
      <w:t>29</w:t>
    </w:r>
    <w:r w:rsidR="00764D18" w:rsidRPr="00E957F7">
      <w:rPr>
        <w:sz w:val="18"/>
        <w:szCs w:val="18"/>
      </w:rPr>
      <w:t>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78" w:rsidRDefault="005F5278" w:rsidP="00E64060">
      <w:pPr>
        <w:spacing w:after="0" w:line="240" w:lineRule="auto"/>
      </w:pPr>
      <w:r>
        <w:separator/>
      </w:r>
    </w:p>
  </w:footnote>
  <w:footnote w:type="continuationSeparator" w:id="0">
    <w:p w:rsidR="005F5278" w:rsidRDefault="005F5278" w:rsidP="00E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E8" w:rsidRDefault="000D37E8" w:rsidP="0057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66F4" wp14:editId="7E714BF8">
              <wp:simplePos x="0" y="0"/>
              <wp:positionH relativeFrom="margin">
                <wp:align>center</wp:align>
              </wp:positionH>
              <wp:positionV relativeFrom="paragraph">
                <wp:posOffset>65042</wp:posOffset>
              </wp:positionV>
              <wp:extent cx="6125845" cy="457200"/>
              <wp:effectExtent l="0" t="0" r="2730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7E8" w:rsidRDefault="000D37E8" w:rsidP="000D37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Informed Consent Process Observation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36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482.3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" fillcolor="#d8d8d8 [2732]">
              <v:textbox>
                <w:txbxContent>
                  <w:p w:rsidR="000D37E8" w:rsidRDefault="000D37E8" w:rsidP="000D37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Informed Consent Process Observation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B8" w:rsidRDefault="005D2B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C652C" wp14:editId="4E424165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6125845" cy="457200"/>
              <wp:effectExtent l="0" t="0" r="2730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E8" w:rsidRDefault="00AA50EA" w:rsidP="005D2B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Reliance Agreement</w:t>
                          </w:r>
                          <w:r w:rsidR="00422AB9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5D2BE8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C6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1pt;width:482.3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" fillcolor="#d8d8d8 [2732]">
              <v:textbox>
                <w:txbxContent>
                  <w:p w:rsidR="005D2BE8" w:rsidRDefault="00AA50EA" w:rsidP="005D2B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Reliance Agreement</w:t>
                    </w:r>
                    <w:r w:rsidR="00422AB9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5D2BE8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0DD"/>
    <w:multiLevelType w:val="hybridMultilevel"/>
    <w:tmpl w:val="5518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0"/>
    <w:rsid w:val="0002583D"/>
    <w:rsid w:val="000D37E8"/>
    <w:rsid w:val="00140693"/>
    <w:rsid w:val="001972B3"/>
    <w:rsid w:val="001A7824"/>
    <w:rsid w:val="001F5E1E"/>
    <w:rsid w:val="00283A69"/>
    <w:rsid w:val="00285F3B"/>
    <w:rsid w:val="002F4460"/>
    <w:rsid w:val="00375713"/>
    <w:rsid w:val="003B22AA"/>
    <w:rsid w:val="003E7089"/>
    <w:rsid w:val="00416AD2"/>
    <w:rsid w:val="00422AB9"/>
    <w:rsid w:val="00432C3C"/>
    <w:rsid w:val="004950F4"/>
    <w:rsid w:val="004A72A1"/>
    <w:rsid w:val="004C79CE"/>
    <w:rsid w:val="004D5A64"/>
    <w:rsid w:val="005616AA"/>
    <w:rsid w:val="005773F6"/>
    <w:rsid w:val="005D2BE8"/>
    <w:rsid w:val="005F5278"/>
    <w:rsid w:val="00627830"/>
    <w:rsid w:val="007307ED"/>
    <w:rsid w:val="00764D18"/>
    <w:rsid w:val="00833246"/>
    <w:rsid w:val="008651EE"/>
    <w:rsid w:val="00866D0F"/>
    <w:rsid w:val="008976D8"/>
    <w:rsid w:val="008E7217"/>
    <w:rsid w:val="009944A2"/>
    <w:rsid w:val="009A13CF"/>
    <w:rsid w:val="009B5BB8"/>
    <w:rsid w:val="009D41E1"/>
    <w:rsid w:val="00AA50EA"/>
    <w:rsid w:val="00AC27A4"/>
    <w:rsid w:val="00AE330B"/>
    <w:rsid w:val="00AE422A"/>
    <w:rsid w:val="00B0666D"/>
    <w:rsid w:val="00C33940"/>
    <w:rsid w:val="00CB0C5F"/>
    <w:rsid w:val="00DA4C91"/>
    <w:rsid w:val="00DE13C4"/>
    <w:rsid w:val="00DF589A"/>
    <w:rsid w:val="00E64060"/>
    <w:rsid w:val="00E67761"/>
    <w:rsid w:val="00E85F11"/>
    <w:rsid w:val="00E92C93"/>
    <w:rsid w:val="00E957F7"/>
    <w:rsid w:val="00EB0C15"/>
    <w:rsid w:val="00F41E4C"/>
    <w:rsid w:val="00F969B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DDEFB-EE47-4245-9095-47C18D8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p.cit.nih.gov/search/fwasearch.aspx?styp=bs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hrpp.org/learn/find-an-accredited-organ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yst.harvard.edu/services/irbce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BD62-D5C3-4D95-AC09-0155FDEC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Fagan, Alexis</cp:lastModifiedBy>
  <cp:revision>2</cp:revision>
  <cp:lastPrinted>2014-07-31T13:19:00Z</cp:lastPrinted>
  <dcterms:created xsi:type="dcterms:W3CDTF">2020-05-29T15:45:00Z</dcterms:created>
  <dcterms:modified xsi:type="dcterms:W3CDTF">2020-05-29T15:45:00Z</dcterms:modified>
</cp:coreProperties>
</file>